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55F1C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2"/>
      <w:bookmarkStart w:id="1" w:name="OLE_LINK11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510160</w:t>
      </w:r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cyan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Bengaluru, India, August 25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 xml:space="preserve"> – 29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2025</w:t>
      </w:r>
    </w:p>
    <w:p w14:paraId="7103F181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37F44CB1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17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</w:p>
    <w:p w14:paraId="7891286E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6448A15B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4"/>
      <w:bookmarkStart w:id="3" w:name="OLE_LINK23"/>
      <w:bookmarkStart w:id="4" w:name="OLE_LINK8"/>
      <w:bookmarkStart w:id="5" w:name="OLE_LINK7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lang w:val="en-US" w:eastAsia="zh-CN"/>
        </w:rPr>
        <w:t>RRM performance requirements for beam management</w:t>
      </w:r>
    </w:p>
    <w:bookmarkEnd w:id="4"/>
    <w:bookmarkEnd w:id="5"/>
    <w:p w14:paraId="7B501149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2DEF85F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5582888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106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7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45D3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noWrap w:val="0"/>
            <w:vAlign w:val="top"/>
          </w:tcPr>
          <w:p w14:paraId="0AF519BD">
            <w:pPr>
              <w:numPr>
                <w:ilvl w:val="0"/>
                <w:numId w:val="4"/>
              </w:numPr>
              <w:spacing w:after="0"/>
              <w:ind w:left="30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65691B28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11C0CB2D">
            <w:pPr>
              <w:numPr>
                <w:ilvl w:val="1"/>
                <w:numId w:val="4"/>
              </w:numPr>
              <w:spacing w:after="0"/>
              <w:ind w:left="1020" w:leftChars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347D2E4C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5C4B1C6">
      <w:pPr>
        <w:spacing w:before="180"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his contribution provides discussion on RRM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performance </w:t>
      </w:r>
      <w:r>
        <w:rPr>
          <w:rFonts w:hint="eastAsia" w:ascii="Times New Roman" w:hAnsi="Times New Roman"/>
          <w:sz w:val="20"/>
          <w:szCs w:val="20"/>
        </w:rPr>
        <w:t>requirements for beam management.</w:t>
      </w:r>
    </w:p>
    <w:p w14:paraId="0B27DD74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2"/>
      <w:bookmarkStart w:id="7" w:name="OLE_LINK1"/>
      <w:r>
        <w:rPr>
          <w:rFonts w:ascii="Times New Roman" w:hAnsi="Times New Roman"/>
          <w:i/>
          <w:sz w:val="20"/>
          <w:szCs w:val="20"/>
        </w:rPr>
        <w:t xml:space="preserve"> </w:t>
      </w:r>
    </w:p>
    <w:p w14:paraId="366D68D4">
      <w:pPr>
        <w:spacing w:after="180" w:line="240" w:lineRule="exact"/>
        <w:rPr>
          <w:rFonts w:hint="default" w:ascii="Times New Roman" w:hAnsi="Times New Roman" w:eastAsia="游明朝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For the target for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our view is that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 requirement should not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. According to the discussion in previous meetings, some companies mentioned that the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 will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 xml:space="preserve">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since the gain come from overhead reduction. From operator point of view, we do not think that this is a good way to go. If the predicted results are worse than the legacy measured results, it will have impact on the already deployed network, which is not preferred. </w:t>
      </w:r>
    </w:p>
    <w:p w14:paraId="2D1A0915">
      <w:pPr>
        <w:spacing w:after="180" w:line="240" w:lineRule="exact"/>
        <w:rPr>
          <w:rFonts w:hint="eastAsia"/>
          <w:lang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1: For RSRP accuracy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it is proposed that AI/ML based performance requirement should not be worse than the legacy measurement accuracy requirements.    </w:t>
      </w:r>
    </w:p>
    <w:tbl>
      <w:tblPr>
        <w:tblStyle w:val="8"/>
        <w:tblpPr w:leftFromText="180" w:rightFromText="180" w:vertAnchor="text" w:horzAnchor="page" w:tblpX="1793" w:tblpY="4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ADAB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307BC06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  <w:t>RAN1 agreements in RAN1#120 meeting</w:t>
            </w:r>
          </w:p>
          <w:p w14:paraId="337C09B9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CE39554">
            <w:pPr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  <w:t>F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or report content of inference results for UE-sided model,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where the largest RSRP value is quantized to a 7-bit value in the range [-140, -44] dBm with 1dB step size, and the differential RSRP is quantized to a 4-bit value with 2 dB step size.</w:t>
            </w:r>
          </w:p>
          <w:p w14:paraId="28E726E3">
            <w:pPr>
              <w:suppressAutoHyphens/>
              <w:overflowPunct w:val="0"/>
              <w:autoSpaceDE w:val="0"/>
              <w:spacing w:before="120" w:after="120"/>
              <w:ind w:left="0" w:firstLine="0"/>
              <w:jc w:val="both"/>
              <w:textAlignment w:val="baseline"/>
              <w:rPr>
                <w:rFonts w:hint="default"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Note: the model output is UE implementation and it doesn’t have to be RSRP subject to dBm value. </w:t>
            </w:r>
          </w:p>
          <w:p w14:paraId="28434518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68D5F63E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6D66AF2">
            <w:pPr>
              <w:tabs>
                <w:tab w:val="left" w:pos="720"/>
              </w:tabs>
              <w:ind w:left="0" w:firstLine="0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report content of inference results for UE-sided model for BM-Case 1, the RSRP of predicted beam(s)in the report of inference results, is the predicted RSRP, where the predicted RSRP is based on AI/ML output.</w:t>
            </w:r>
          </w:p>
          <w:p w14:paraId="52F6F86B">
            <w:pPr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Note: how to capture it in the spec is a separate discussion. </w:t>
            </w:r>
          </w:p>
          <w:p w14:paraId="220AD0AD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4A08F51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lang w:eastAsia="zh-CN"/>
              </w:rPr>
            </w:pPr>
          </w:p>
          <w:p w14:paraId="60CE8AB3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FC86C2B">
            <w:pPr>
              <w:spacing w:after="120"/>
              <w:ind w:left="0" w:firstLine="0"/>
              <w:jc w:val="both"/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For UE-side AI/ML model inference and BM-Case2,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>for the quantization of a RSRP value of inference results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 in a report over multiple future time instances, </w:t>
            </w:r>
          </w:p>
          <w:p w14:paraId="5FEADE7C">
            <w:pPr>
              <w:numPr>
                <w:ilvl w:val="0"/>
                <w:numId w:val="5"/>
              </w:numPr>
              <w:spacing w:after="12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the largest RSRP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value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 based on prediction of all time instances is the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highlight w:val="none"/>
                <w:lang w:eastAsia="zh-CN"/>
              </w:rPr>
              <w:t xml:space="preserve">reference RSRP, and differential RSRPs in the report are computed relative to the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eastAsia="zh-CN"/>
              </w:rPr>
              <w:t xml:space="preserve">reference RSRP. </w:t>
            </w:r>
          </w:p>
          <w:p w14:paraId="4B20F3FC">
            <w:pPr>
              <w:numPr>
                <w:ilvl w:val="1"/>
                <w:numId w:val="5"/>
              </w:numPr>
              <w:spacing w:after="120"/>
              <w:jc w:val="both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The time instance information of the beam with the largest RSRP are additionally indicated in the report. </w:t>
            </w:r>
          </w:p>
        </w:tc>
      </w:tr>
    </w:tbl>
    <w:p w14:paraId="6B95B52E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2102A953">
      <w:pPr>
        <w:spacing w:after="180" w:line="240" w:lineRule="exact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sz w:val="20"/>
          <w:szCs w:val="20"/>
          <w:lang w:eastAsia="zh-CN"/>
        </w:rPr>
        <w:t>F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 xml:space="preserve">or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beam management, RAN1 agreed the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report content of inference results for UE-sided model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</w:t>
      </w:r>
      <w:r>
        <w:rPr>
          <w:rFonts w:hint="default" w:ascii="Times New Roman" w:hAnsi="Times New Roman" w:cs="Times New Roman"/>
          <w:sz w:val="20"/>
          <w:szCs w:val="20"/>
        </w:rPr>
        <w:t>he largest RSRP value is quantized to a 7-bit value in the range [-140, -44] dBm with 1dB step size, and the differential RSRP is quantized to a 4-bit value with 2 dB step size.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</w:p>
    <w:p w14:paraId="72DD3765">
      <w:pPr>
        <w:spacing w:after="180" w:line="240" w:lineRule="exact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The legacy RSRP measurement report mapping table is defined in RAN4, which are duplicated as following. In legacy, the reporting range of SS-RSRP for L1 reporting is defined from -140 to -44 dBm with 1 dB resolution. And the reporting range of differential SS-RSRP for L1 reporting is defined from 0 dB to -30 dB with 2 dB resolution. It can be seen that RAN1 design on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report content of inference results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 xml:space="preserve"> is alligned with legacy L1 measurement report, which means that legacy L1 report mapping table can be reused for the report of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>inference results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US" w:eastAsia="zh-CN"/>
        </w:rPr>
        <w:t>.</w:t>
      </w:r>
    </w:p>
    <w:p w14:paraId="6946765C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default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Table 10.1.6.1-1: SS-RSRP and CSI-RSRP measurement report mapping</w:t>
      </w:r>
      <w:r>
        <w:rPr>
          <w:rFonts w:hint="eastAsia"/>
          <w:sz w:val="22"/>
          <w:szCs w:val="22"/>
          <w:lang w:val="en-US" w:eastAsia="zh-CN"/>
        </w:rPr>
        <w:t xml:space="preserve"> (TS 38.133)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2907"/>
        <w:gridCol w:w="3056"/>
        <w:gridCol w:w="1044"/>
      </w:tblGrid>
      <w:tr w14:paraId="25AB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12" w:type="pct"/>
            <w:shd w:val="clear" w:color="auto" w:fill="auto"/>
            <w:noWrap/>
          </w:tcPr>
          <w:p w14:paraId="4F37A6B9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1578" w:type="pct"/>
            <w:shd w:val="clear" w:color="auto" w:fill="auto"/>
            <w:noWrap/>
          </w:tcPr>
          <w:p w14:paraId="2503F85A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(L3 SS-RSRP)</w:t>
            </w:r>
            <w:r>
              <w:rPr>
                <w:rFonts w:hint="eastAsia"/>
                <w:lang w:eastAsia="zh-CN"/>
              </w:rPr>
              <w:t xml:space="preserve"> and CSI-RSRP</w:t>
            </w:r>
          </w:p>
        </w:tc>
        <w:tc>
          <w:tcPr>
            <w:tcW w:w="1660" w:type="pct"/>
          </w:tcPr>
          <w:p w14:paraId="245B52D0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(L1 SS-RSRP and CSI-RSRP)</w:t>
            </w:r>
          </w:p>
        </w:tc>
        <w:tc>
          <w:tcPr>
            <w:tcW w:w="550" w:type="pct"/>
            <w:shd w:val="clear" w:color="auto" w:fill="auto"/>
            <w:noWrap/>
          </w:tcPr>
          <w:p w14:paraId="5E84BF4A">
            <w:pPr>
              <w:pStyle w:val="14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14:paraId="45649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CF0814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RSRP_0</w:t>
            </w:r>
          </w:p>
        </w:tc>
        <w:tc>
          <w:tcPr>
            <w:tcW w:w="1578" w:type="pct"/>
            <w:shd w:val="clear" w:color="auto" w:fill="auto"/>
            <w:noWrap/>
          </w:tcPr>
          <w:p w14:paraId="719B650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SS-RSRP&lt;-156</w:t>
            </w:r>
          </w:p>
        </w:tc>
        <w:tc>
          <w:tcPr>
            <w:tcW w:w="1660" w:type="pct"/>
          </w:tcPr>
          <w:p w14:paraId="717F327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7BF6A7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10A3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F2E9F4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</w:t>
            </w:r>
          </w:p>
        </w:tc>
        <w:tc>
          <w:tcPr>
            <w:tcW w:w="1578" w:type="pct"/>
            <w:shd w:val="clear" w:color="auto" w:fill="auto"/>
            <w:noWrap/>
          </w:tcPr>
          <w:p w14:paraId="7AA0878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SS-RSRP&lt;-155</w:t>
            </w:r>
          </w:p>
        </w:tc>
        <w:tc>
          <w:tcPr>
            <w:tcW w:w="1660" w:type="pct"/>
          </w:tcPr>
          <w:p w14:paraId="7B7D57F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12A4382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A64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060276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RSRP_2</w:t>
            </w:r>
          </w:p>
        </w:tc>
        <w:tc>
          <w:tcPr>
            <w:tcW w:w="1578" w:type="pct"/>
            <w:shd w:val="clear" w:color="auto" w:fill="auto"/>
            <w:noWrap/>
          </w:tcPr>
          <w:p w14:paraId="43D4A1F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SS-RSRP&lt;-154</w:t>
            </w:r>
          </w:p>
        </w:tc>
        <w:tc>
          <w:tcPr>
            <w:tcW w:w="1660" w:type="pct"/>
          </w:tcPr>
          <w:p w14:paraId="4F564AC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C7EE00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F100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00EF5A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RSRP_3</w:t>
            </w:r>
          </w:p>
        </w:tc>
        <w:tc>
          <w:tcPr>
            <w:tcW w:w="1578" w:type="pct"/>
            <w:shd w:val="clear" w:color="auto" w:fill="auto"/>
            <w:noWrap/>
          </w:tcPr>
          <w:p w14:paraId="78F37B0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SS-RSRP&lt;-153</w:t>
            </w:r>
          </w:p>
        </w:tc>
        <w:tc>
          <w:tcPr>
            <w:tcW w:w="1660" w:type="pct"/>
          </w:tcPr>
          <w:p w14:paraId="2FC3E0E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8981FF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E52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43BECC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RSRP_4</w:t>
            </w:r>
          </w:p>
        </w:tc>
        <w:tc>
          <w:tcPr>
            <w:tcW w:w="1578" w:type="pct"/>
            <w:shd w:val="clear" w:color="auto" w:fill="auto"/>
            <w:noWrap/>
          </w:tcPr>
          <w:p w14:paraId="79F805D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SS-RSRP&lt;-152</w:t>
            </w:r>
          </w:p>
        </w:tc>
        <w:tc>
          <w:tcPr>
            <w:tcW w:w="1660" w:type="pct"/>
          </w:tcPr>
          <w:p w14:paraId="3B0581C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D511D7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344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247521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RSRP_5</w:t>
            </w:r>
          </w:p>
        </w:tc>
        <w:tc>
          <w:tcPr>
            <w:tcW w:w="1578" w:type="pct"/>
            <w:shd w:val="clear" w:color="auto" w:fill="auto"/>
            <w:noWrap/>
          </w:tcPr>
          <w:p w14:paraId="3524CAB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SS-RSRP&lt;-151</w:t>
            </w:r>
          </w:p>
        </w:tc>
        <w:tc>
          <w:tcPr>
            <w:tcW w:w="1660" w:type="pct"/>
          </w:tcPr>
          <w:p w14:paraId="5F82B01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3A95C3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37E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1A5E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RSRP_6</w:t>
            </w:r>
          </w:p>
        </w:tc>
        <w:tc>
          <w:tcPr>
            <w:tcW w:w="1578" w:type="pct"/>
            <w:shd w:val="clear" w:color="auto" w:fill="auto"/>
            <w:noWrap/>
          </w:tcPr>
          <w:p w14:paraId="4AB90A8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-151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SS-RSRP&lt;-150</w:t>
            </w:r>
          </w:p>
        </w:tc>
        <w:tc>
          <w:tcPr>
            <w:tcW w:w="1660" w:type="pct"/>
          </w:tcPr>
          <w:p w14:paraId="37D50E9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39DB03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960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F8B69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RSRP_7</w:t>
            </w:r>
          </w:p>
        </w:tc>
        <w:tc>
          <w:tcPr>
            <w:tcW w:w="1578" w:type="pct"/>
            <w:shd w:val="clear" w:color="auto" w:fill="auto"/>
            <w:noWrap/>
          </w:tcPr>
          <w:p w14:paraId="0882047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-150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SS-RSRP&lt;-149</w:t>
            </w:r>
          </w:p>
        </w:tc>
        <w:tc>
          <w:tcPr>
            <w:tcW w:w="1660" w:type="pct"/>
          </w:tcPr>
          <w:p w14:paraId="7EF13C5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7A5A9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15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14E3A8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RSRP_8</w:t>
            </w:r>
          </w:p>
        </w:tc>
        <w:tc>
          <w:tcPr>
            <w:tcW w:w="1578" w:type="pct"/>
            <w:shd w:val="clear" w:color="auto" w:fill="auto"/>
            <w:noWrap/>
          </w:tcPr>
          <w:p w14:paraId="0127474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-149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SS-RSRP&lt;-148</w:t>
            </w:r>
          </w:p>
        </w:tc>
        <w:tc>
          <w:tcPr>
            <w:tcW w:w="1660" w:type="pct"/>
          </w:tcPr>
          <w:p w14:paraId="5AE6FFA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AEBA49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E26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EA626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RSRP_9</w:t>
            </w:r>
          </w:p>
        </w:tc>
        <w:tc>
          <w:tcPr>
            <w:tcW w:w="1578" w:type="pct"/>
            <w:shd w:val="clear" w:color="auto" w:fill="auto"/>
            <w:noWrap/>
          </w:tcPr>
          <w:p w14:paraId="3BCE34A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-148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SS-RSRP&lt;-147</w:t>
            </w:r>
          </w:p>
        </w:tc>
        <w:tc>
          <w:tcPr>
            <w:tcW w:w="1660" w:type="pct"/>
          </w:tcPr>
          <w:p w14:paraId="70C5E04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239CAD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FF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4B8589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RSRP_10</w:t>
            </w:r>
          </w:p>
        </w:tc>
        <w:tc>
          <w:tcPr>
            <w:tcW w:w="1578" w:type="pct"/>
            <w:shd w:val="clear" w:color="auto" w:fill="auto"/>
            <w:noWrap/>
          </w:tcPr>
          <w:p w14:paraId="4F2B5CB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-147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SS-RSRP&lt;-146</w:t>
            </w:r>
          </w:p>
        </w:tc>
        <w:tc>
          <w:tcPr>
            <w:tcW w:w="1660" w:type="pct"/>
          </w:tcPr>
          <w:p w14:paraId="4D91AE3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8D5D2A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34B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1C10E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</w:t>
            </w:r>
          </w:p>
        </w:tc>
        <w:tc>
          <w:tcPr>
            <w:tcW w:w="1578" w:type="pct"/>
            <w:shd w:val="clear" w:color="auto" w:fill="auto"/>
            <w:noWrap/>
          </w:tcPr>
          <w:p w14:paraId="5AC1485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SS-RSRP&lt;-145</w:t>
            </w:r>
          </w:p>
        </w:tc>
        <w:tc>
          <w:tcPr>
            <w:tcW w:w="1660" w:type="pct"/>
          </w:tcPr>
          <w:p w14:paraId="4401AE1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F816D5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CCA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45AD0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</w:t>
            </w:r>
          </w:p>
        </w:tc>
        <w:tc>
          <w:tcPr>
            <w:tcW w:w="1578" w:type="pct"/>
            <w:shd w:val="clear" w:color="auto" w:fill="auto"/>
            <w:noWrap/>
          </w:tcPr>
          <w:p w14:paraId="1E0BF2E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SS-RSRP&lt;-144</w:t>
            </w:r>
          </w:p>
        </w:tc>
        <w:tc>
          <w:tcPr>
            <w:tcW w:w="1660" w:type="pct"/>
          </w:tcPr>
          <w:p w14:paraId="4B738B4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AB3BF9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A31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F6EC99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RSRP_13</w:t>
            </w:r>
          </w:p>
        </w:tc>
        <w:tc>
          <w:tcPr>
            <w:tcW w:w="1578" w:type="pct"/>
            <w:shd w:val="clear" w:color="auto" w:fill="auto"/>
            <w:noWrap/>
          </w:tcPr>
          <w:p w14:paraId="5837EA5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SS-RSRP&lt;-143</w:t>
            </w:r>
          </w:p>
        </w:tc>
        <w:tc>
          <w:tcPr>
            <w:tcW w:w="1660" w:type="pct"/>
          </w:tcPr>
          <w:p w14:paraId="7426C33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C994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A7E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D86DEC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RSRP_14</w:t>
            </w:r>
          </w:p>
        </w:tc>
        <w:tc>
          <w:tcPr>
            <w:tcW w:w="1578" w:type="pct"/>
            <w:shd w:val="clear" w:color="auto" w:fill="auto"/>
            <w:noWrap/>
          </w:tcPr>
          <w:p w14:paraId="4A1C86E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SS-RSRP&lt;-142</w:t>
            </w:r>
          </w:p>
        </w:tc>
        <w:tc>
          <w:tcPr>
            <w:tcW w:w="1660" w:type="pct"/>
          </w:tcPr>
          <w:p w14:paraId="437112C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E95C1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B7A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BA679B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RSRP_15</w:t>
            </w:r>
          </w:p>
        </w:tc>
        <w:tc>
          <w:tcPr>
            <w:tcW w:w="1578" w:type="pct"/>
            <w:shd w:val="clear" w:color="auto" w:fill="auto"/>
            <w:noWrap/>
          </w:tcPr>
          <w:p w14:paraId="7C992C3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SS-RSRP&lt;-141</w:t>
            </w:r>
          </w:p>
        </w:tc>
        <w:tc>
          <w:tcPr>
            <w:tcW w:w="1660" w:type="pct"/>
          </w:tcPr>
          <w:p w14:paraId="1B420AA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4FA080D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B1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F1DFD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RSRP_16</w:t>
            </w:r>
          </w:p>
        </w:tc>
        <w:tc>
          <w:tcPr>
            <w:tcW w:w="1578" w:type="pct"/>
            <w:shd w:val="clear" w:color="auto" w:fill="auto"/>
            <w:noWrap/>
          </w:tcPr>
          <w:p w14:paraId="6525A85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SS-RSRP&lt;-140</w:t>
            </w:r>
          </w:p>
        </w:tc>
        <w:tc>
          <w:tcPr>
            <w:tcW w:w="1660" w:type="pct"/>
          </w:tcPr>
          <w:p w14:paraId="70B77B3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RSRP&lt;-140</w:t>
            </w:r>
          </w:p>
        </w:tc>
        <w:tc>
          <w:tcPr>
            <w:tcW w:w="550" w:type="pct"/>
            <w:shd w:val="clear" w:color="auto" w:fill="auto"/>
            <w:noWrap/>
          </w:tcPr>
          <w:p w14:paraId="49FE47D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1BF4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41E951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RSRP_17</w:t>
            </w:r>
          </w:p>
        </w:tc>
        <w:tc>
          <w:tcPr>
            <w:tcW w:w="1578" w:type="pct"/>
            <w:shd w:val="clear" w:color="auto" w:fill="auto"/>
            <w:noWrap/>
          </w:tcPr>
          <w:p w14:paraId="344A260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SS-RSRP&lt;-139</w:t>
            </w:r>
          </w:p>
        </w:tc>
        <w:tc>
          <w:tcPr>
            <w:tcW w:w="1660" w:type="pct"/>
          </w:tcPr>
          <w:p w14:paraId="1BA123B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rPr>
                <w:lang w:eastAsia="ko-KR"/>
              </w:rPr>
              <w:t>RSRP&lt;-139</w:t>
            </w:r>
          </w:p>
        </w:tc>
        <w:tc>
          <w:tcPr>
            <w:tcW w:w="550" w:type="pct"/>
            <w:shd w:val="clear" w:color="auto" w:fill="auto"/>
            <w:noWrap/>
          </w:tcPr>
          <w:p w14:paraId="0FE33F0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A0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96759F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RSRP_18</w:t>
            </w:r>
          </w:p>
        </w:tc>
        <w:tc>
          <w:tcPr>
            <w:tcW w:w="1578" w:type="pct"/>
            <w:shd w:val="clear" w:color="auto" w:fill="auto"/>
            <w:noWrap/>
          </w:tcPr>
          <w:p w14:paraId="2CF37B2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SS-RSRP&lt;-138</w:t>
            </w:r>
          </w:p>
        </w:tc>
        <w:tc>
          <w:tcPr>
            <w:tcW w:w="1660" w:type="pct"/>
          </w:tcPr>
          <w:p w14:paraId="13C93F6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RSRP&lt;-138</w:t>
            </w:r>
          </w:p>
        </w:tc>
        <w:tc>
          <w:tcPr>
            <w:tcW w:w="550" w:type="pct"/>
            <w:shd w:val="clear" w:color="auto" w:fill="auto"/>
            <w:noWrap/>
          </w:tcPr>
          <w:p w14:paraId="2A91DB9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00C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E488A7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578" w:type="pct"/>
            <w:shd w:val="clear" w:color="auto" w:fill="auto"/>
            <w:noWrap/>
          </w:tcPr>
          <w:p w14:paraId="0FF43E8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660" w:type="pct"/>
          </w:tcPr>
          <w:p w14:paraId="280EEE2D">
            <w:pPr>
              <w:pStyle w:val="16"/>
              <w:rPr>
                <w:lang w:eastAsia="ko-KR"/>
              </w:rPr>
            </w:pPr>
          </w:p>
        </w:tc>
        <w:tc>
          <w:tcPr>
            <w:tcW w:w="550" w:type="pct"/>
            <w:shd w:val="clear" w:color="auto" w:fill="auto"/>
            <w:noWrap/>
          </w:tcPr>
          <w:p w14:paraId="5FD3EBD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14:paraId="3EE2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DA3AE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RSRP_111</w:t>
            </w:r>
          </w:p>
        </w:tc>
        <w:tc>
          <w:tcPr>
            <w:tcW w:w="1578" w:type="pct"/>
            <w:shd w:val="clear" w:color="auto" w:fill="auto"/>
            <w:noWrap/>
          </w:tcPr>
          <w:p w14:paraId="6B6F85A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rPr>
                <w:rFonts w:hint="eastAsia"/>
                <w:lang w:eastAsia="ko-KR"/>
              </w:rPr>
              <w:t>≤</w:t>
            </w:r>
            <w:r>
              <w:t xml:space="preserve"> </w:t>
            </w:r>
            <w:r>
              <w:rPr>
                <w:lang w:eastAsia="ko-KR"/>
              </w:rPr>
              <w:t>SS-RSRP&lt;-45</w:t>
            </w:r>
          </w:p>
        </w:tc>
        <w:tc>
          <w:tcPr>
            <w:tcW w:w="1660" w:type="pct"/>
          </w:tcPr>
          <w:p w14:paraId="3067E4E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RSRP&lt;-45</w:t>
            </w:r>
          </w:p>
        </w:tc>
        <w:tc>
          <w:tcPr>
            <w:tcW w:w="550" w:type="pct"/>
            <w:shd w:val="clear" w:color="auto" w:fill="auto"/>
            <w:noWrap/>
          </w:tcPr>
          <w:p w14:paraId="1CC4A45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95A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2F1327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RSRP_112</w:t>
            </w:r>
          </w:p>
        </w:tc>
        <w:tc>
          <w:tcPr>
            <w:tcW w:w="1578" w:type="pct"/>
            <w:shd w:val="clear" w:color="auto" w:fill="auto"/>
            <w:noWrap/>
          </w:tcPr>
          <w:p w14:paraId="4A2961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SS-RSRP&lt;-44</w:t>
            </w:r>
          </w:p>
        </w:tc>
        <w:tc>
          <w:tcPr>
            <w:tcW w:w="1660" w:type="pct"/>
          </w:tcPr>
          <w:p w14:paraId="308AC7B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RSRP</w:t>
            </w:r>
            <w:r>
              <w:rPr>
                <w:lang w:eastAsia="ko-KR"/>
              </w:rPr>
              <w:t>&lt;-44</w:t>
            </w:r>
          </w:p>
        </w:tc>
        <w:tc>
          <w:tcPr>
            <w:tcW w:w="550" w:type="pct"/>
            <w:shd w:val="clear" w:color="auto" w:fill="auto"/>
            <w:noWrap/>
          </w:tcPr>
          <w:p w14:paraId="571DB29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3F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4B53C1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RSRP_113</w:t>
            </w:r>
          </w:p>
        </w:tc>
        <w:tc>
          <w:tcPr>
            <w:tcW w:w="1578" w:type="pct"/>
            <w:shd w:val="clear" w:color="auto" w:fill="auto"/>
            <w:noWrap/>
          </w:tcPr>
          <w:p w14:paraId="37CFC11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SS-RSRP&lt;-43</w:t>
            </w:r>
          </w:p>
        </w:tc>
        <w:tc>
          <w:tcPr>
            <w:tcW w:w="1660" w:type="pct"/>
          </w:tcPr>
          <w:p w14:paraId="382F245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RSRP</w:t>
            </w:r>
          </w:p>
        </w:tc>
        <w:tc>
          <w:tcPr>
            <w:tcW w:w="550" w:type="pct"/>
            <w:shd w:val="clear" w:color="auto" w:fill="auto"/>
            <w:noWrap/>
          </w:tcPr>
          <w:p w14:paraId="0391CBB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D04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8B6F3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RSRP_114</w:t>
            </w:r>
          </w:p>
        </w:tc>
        <w:tc>
          <w:tcPr>
            <w:tcW w:w="1578" w:type="pct"/>
            <w:shd w:val="clear" w:color="auto" w:fill="auto"/>
            <w:noWrap/>
          </w:tcPr>
          <w:p w14:paraId="36372A6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SS-RSRP&lt;-42</w:t>
            </w:r>
          </w:p>
        </w:tc>
        <w:tc>
          <w:tcPr>
            <w:tcW w:w="1660" w:type="pct"/>
          </w:tcPr>
          <w:p w14:paraId="7D62E14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569202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8603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88EC6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RSRP_115</w:t>
            </w:r>
          </w:p>
        </w:tc>
        <w:tc>
          <w:tcPr>
            <w:tcW w:w="1578" w:type="pct"/>
            <w:shd w:val="clear" w:color="auto" w:fill="auto"/>
            <w:noWrap/>
          </w:tcPr>
          <w:p w14:paraId="72E22CF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SS-RSRP&lt;-41</w:t>
            </w:r>
          </w:p>
        </w:tc>
        <w:tc>
          <w:tcPr>
            <w:tcW w:w="1660" w:type="pct"/>
          </w:tcPr>
          <w:p w14:paraId="69E4022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B3481B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799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EC8C33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RSRP_116</w:t>
            </w:r>
          </w:p>
        </w:tc>
        <w:tc>
          <w:tcPr>
            <w:tcW w:w="1578" w:type="pct"/>
            <w:shd w:val="clear" w:color="auto" w:fill="auto"/>
            <w:noWrap/>
          </w:tcPr>
          <w:p w14:paraId="76F6F717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SS-RSRP&lt;-40</w:t>
            </w:r>
          </w:p>
        </w:tc>
        <w:tc>
          <w:tcPr>
            <w:tcW w:w="1660" w:type="pct"/>
          </w:tcPr>
          <w:p w14:paraId="7B7217F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0EBDF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4FB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4BE6C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RSRP_117</w:t>
            </w:r>
          </w:p>
        </w:tc>
        <w:tc>
          <w:tcPr>
            <w:tcW w:w="1578" w:type="pct"/>
            <w:shd w:val="clear" w:color="auto" w:fill="auto"/>
            <w:noWrap/>
          </w:tcPr>
          <w:p w14:paraId="36E0794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SS-RSRP&lt;-39</w:t>
            </w:r>
          </w:p>
        </w:tc>
        <w:tc>
          <w:tcPr>
            <w:tcW w:w="1660" w:type="pct"/>
          </w:tcPr>
          <w:p w14:paraId="5C9908F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A78D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6BD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EF4A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RSRP_118</w:t>
            </w:r>
          </w:p>
        </w:tc>
        <w:tc>
          <w:tcPr>
            <w:tcW w:w="1578" w:type="pct"/>
            <w:shd w:val="clear" w:color="auto" w:fill="auto"/>
            <w:noWrap/>
          </w:tcPr>
          <w:p w14:paraId="4A1ABC8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SS-RSRP&lt;-38</w:t>
            </w:r>
          </w:p>
        </w:tc>
        <w:tc>
          <w:tcPr>
            <w:tcW w:w="1660" w:type="pct"/>
          </w:tcPr>
          <w:p w14:paraId="7EBFF4F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524903A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3542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F1806C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RSRP_119</w:t>
            </w:r>
          </w:p>
        </w:tc>
        <w:tc>
          <w:tcPr>
            <w:tcW w:w="1578" w:type="pct"/>
            <w:shd w:val="clear" w:color="auto" w:fill="auto"/>
            <w:noWrap/>
          </w:tcPr>
          <w:p w14:paraId="5DD88A1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-38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SS-RSRP&lt;-37</w:t>
            </w:r>
          </w:p>
        </w:tc>
        <w:tc>
          <w:tcPr>
            <w:tcW w:w="1660" w:type="pct"/>
          </w:tcPr>
          <w:p w14:paraId="5737ADC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1FE4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0909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DEEA36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RSRP_120</w:t>
            </w:r>
          </w:p>
        </w:tc>
        <w:tc>
          <w:tcPr>
            <w:tcW w:w="1578" w:type="pct"/>
            <w:shd w:val="clear" w:color="auto" w:fill="auto"/>
            <w:noWrap/>
          </w:tcPr>
          <w:p w14:paraId="36FE784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-37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SS-RSRP&lt;-36</w:t>
            </w:r>
          </w:p>
        </w:tc>
        <w:tc>
          <w:tcPr>
            <w:tcW w:w="1660" w:type="pct"/>
          </w:tcPr>
          <w:p w14:paraId="5B595D4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5BBDE4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5BC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52B99B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RSRP_121</w:t>
            </w:r>
          </w:p>
        </w:tc>
        <w:tc>
          <w:tcPr>
            <w:tcW w:w="1578" w:type="pct"/>
            <w:shd w:val="clear" w:color="auto" w:fill="auto"/>
            <w:noWrap/>
          </w:tcPr>
          <w:p w14:paraId="01A76AB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SS-RSRP&lt;-35</w:t>
            </w:r>
          </w:p>
        </w:tc>
        <w:tc>
          <w:tcPr>
            <w:tcW w:w="1660" w:type="pct"/>
          </w:tcPr>
          <w:p w14:paraId="0EB5CE9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FC4389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714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93C27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RSRP_122</w:t>
            </w:r>
          </w:p>
        </w:tc>
        <w:tc>
          <w:tcPr>
            <w:tcW w:w="1578" w:type="pct"/>
            <w:shd w:val="clear" w:color="auto" w:fill="auto"/>
            <w:noWrap/>
          </w:tcPr>
          <w:p w14:paraId="759950A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SS-RSRP&lt;-34</w:t>
            </w:r>
          </w:p>
        </w:tc>
        <w:tc>
          <w:tcPr>
            <w:tcW w:w="1660" w:type="pct"/>
          </w:tcPr>
          <w:p w14:paraId="15B84B0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A22E0B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54BC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315CF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RSRP_123</w:t>
            </w:r>
          </w:p>
        </w:tc>
        <w:tc>
          <w:tcPr>
            <w:tcW w:w="1578" w:type="pct"/>
            <w:shd w:val="clear" w:color="auto" w:fill="auto"/>
            <w:noWrap/>
          </w:tcPr>
          <w:p w14:paraId="28C88CC8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SS-RSRP&lt;-33</w:t>
            </w:r>
          </w:p>
        </w:tc>
        <w:tc>
          <w:tcPr>
            <w:tcW w:w="1660" w:type="pct"/>
          </w:tcPr>
          <w:p w14:paraId="30CDA3B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C0E226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15D2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644BEE1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RSRP_124</w:t>
            </w:r>
          </w:p>
        </w:tc>
        <w:tc>
          <w:tcPr>
            <w:tcW w:w="1578" w:type="pct"/>
            <w:shd w:val="clear" w:color="auto" w:fill="auto"/>
            <w:noWrap/>
          </w:tcPr>
          <w:p w14:paraId="765BB83E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SS-RSRP&lt;-32</w:t>
            </w:r>
          </w:p>
        </w:tc>
        <w:tc>
          <w:tcPr>
            <w:tcW w:w="1660" w:type="pct"/>
          </w:tcPr>
          <w:p w14:paraId="37B8220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DFF2C8F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5ED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E133B3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RSRP_125</w:t>
            </w:r>
          </w:p>
        </w:tc>
        <w:tc>
          <w:tcPr>
            <w:tcW w:w="1578" w:type="pct"/>
            <w:shd w:val="clear" w:color="auto" w:fill="auto"/>
            <w:noWrap/>
          </w:tcPr>
          <w:p w14:paraId="22D28C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SS-RSRP&lt;-31</w:t>
            </w:r>
          </w:p>
        </w:tc>
        <w:tc>
          <w:tcPr>
            <w:tcW w:w="1660" w:type="pct"/>
          </w:tcPr>
          <w:p w14:paraId="026A07C9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8B950D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B0E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9AAE812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RSRP_126</w:t>
            </w:r>
          </w:p>
        </w:tc>
        <w:tc>
          <w:tcPr>
            <w:tcW w:w="1578" w:type="pct"/>
            <w:shd w:val="clear" w:color="auto" w:fill="auto"/>
            <w:noWrap/>
          </w:tcPr>
          <w:p w14:paraId="1C95CD1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-31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</w:t>
            </w:r>
          </w:p>
        </w:tc>
        <w:tc>
          <w:tcPr>
            <w:tcW w:w="1660" w:type="pct"/>
          </w:tcPr>
          <w:p w14:paraId="39EA8B75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4CAA3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39D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0C81E2D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 xml:space="preserve">RSRP_127 </w:t>
            </w:r>
            <w:r>
              <w:rPr>
                <w:lang w:eastAsia="zh-CN"/>
              </w:rPr>
              <w:t>(Note)</w:t>
            </w:r>
          </w:p>
        </w:tc>
        <w:tc>
          <w:tcPr>
            <w:tcW w:w="1578" w:type="pct"/>
            <w:shd w:val="clear" w:color="auto" w:fill="auto"/>
            <w:noWrap/>
          </w:tcPr>
          <w:p w14:paraId="683A54C0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Infinity</w:t>
            </w:r>
          </w:p>
        </w:tc>
        <w:tc>
          <w:tcPr>
            <w:tcW w:w="1660" w:type="pct"/>
          </w:tcPr>
          <w:p w14:paraId="20D230A1">
            <w:pPr>
              <w:pStyle w:val="16"/>
              <w:rPr>
                <w:lang w:eastAsia="ko-KR"/>
              </w:rPr>
            </w:pPr>
            <w:r>
              <w:rPr>
                <w:lang w:eastAsia="zh-CN"/>
              </w:rPr>
              <w:t>Infinity</w:t>
            </w:r>
          </w:p>
        </w:tc>
        <w:tc>
          <w:tcPr>
            <w:tcW w:w="550" w:type="pct"/>
            <w:shd w:val="clear" w:color="auto" w:fill="auto"/>
            <w:noWrap/>
          </w:tcPr>
          <w:p w14:paraId="3AA05306">
            <w:pPr>
              <w:pStyle w:val="16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FE7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  <w:shd w:val="clear" w:color="auto" w:fill="auto"/>
            <w:noWrap/>
          </w:tcPr>
          <w:p w14:paraId="4D6968D5">
            <w:pPr>
              <w:pStyle w:val="17"/>
              <w:rPr>
                <w:lang w:eastAsia="ko-KR"/>
              </w:rPr>
            </w:pPr>
            <w:r>
              <w:rPr>
                <w:lang w:eastAsia="zh-CN"/>
              </w:rPr>
              <w:t>NOTE: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4F2D4585"/>
    <w:p w14:paraId="16D0CCDF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eastAsia" w:eastAsia="宋体"/>
          <w:sz w:val="22"/>
          <w:szCs w:val="22"/>
          <w:lang w:val="en-US" w:eastAsia="zh-CN"/>
        </w:rPr>
      </w:pPr>
      <w:r>
        <w:rPr>
          <w:sz w:val="22"/>
          <w:szCs w:val="22"/>
        </w:rPr>
        <w:t>Table 10.1.6.1-2: Differential SS-RSRP and CSI-RSRP measurement (for L1 reporting) report mapping</w:t>
      </w:r>
      <w:r>
        <w:rPr>
          <w:rFonts w:hint="eastAsia"/>
          <w:sz w:val="22"/>
          <w:szCs w:val="22"/>
          <w:lang w:val="en-US" w:eastAsia="zh-CN"/>
        </w:rPr>
        <w:t xml:space="preserve"> (TS 38.133)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7"/>
        <w:gridCol w:w="4535"/>
        <w:gridCol w:w="883"/>
      </w:tblGrid>
      <w:tr w14:paraId="022A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3503A6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Reported value</w:t>
            </w:r>
          </w:p>
        </w:tc>
        <w:tc>
          <w:tcPr>
            <w:tcW w:w="4535" w:type="dxa"/>
          </w:tcPr>
          <w:p w14:paraId="17DDBF3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</w:tcPr>
          <w:p w14:paraId="30FD5821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</w:tr>
      <w:tr w14:paraId="3D745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BDB8261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DIFFRSRP_0</w:t>
            </w:r>
          </w:p>
        </w:tc>
        <w:tc>
          <w:tcPr>
            <w:tcW w:w="4535" w:type="dxa"/>
          </w:tcPr>
          <w:p w14:paraId="6F25A3D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</w:tcPr>
          <w:p w14:paraId="120AA54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012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364FB8C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</w:t>
            </w:r>
          </w:p>
        </w:tc>
        <w:tc>
          <w:tcPr>
            <w:tcW w:w="4535" w:type="dxa"/>
          </w:tcPr>
          <w:p w14:paraId="4412E76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24432C96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80B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74AB97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DIFFRSRP_2</w:t>
            </w:r>
          </w:p>
        </w:tc>
        <w:tc>
          <w:tcPr>
            <w:tcW w:w="4535" w:type="dxa"/>
          </w:tcPr>
          <w:p w14:paraId="28B9575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69590B15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A6C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FE632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DIFFRSRP_3</w:t>
            </w:r>
          </w:p>
        </w:tc>
        <w:tc>
          <w:tcPr>
            <w:tcW w:w="4535" w:type="dxa"/>
          </w:tcPr>
          <w:p w14:paraId="462ED06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0CFE7F7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02C6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2D94D2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DIFFRSRP_4</w:t>
            </w:r>
          </w:p>
        </w:tc>
        <w:tc>
          <w:tcPr>
            <w:tcW w:w="4535" w:type="dxa"/>
          </w:tcPr>
          <w:p w14:paraId="2572EBA1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44C6340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A324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A35B64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DIFFRSRP_5</w:t>
            </w:r>
          </w:p>
        </w:tc>
        <w:tc>
          <w:tcPr>
            <w:tcW w:w="4535" w:type="dxa"/>
          </w:tcPr>
          <w:p w14:paraId="499E9544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63D1298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723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26B34FC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DIFFRSRP_6</w:t>
            </w:r>
          </w:p>
        </w:tc>
        <w:tc>
          <w:tcPr>
            <w:tcW w:w="4535" w:type="dxa"/>
          </w:tcPr>
          <w:p w14:paraId="4808461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0076583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9A2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1F038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DIFFRSRP_7</w:t>
            </w:r>
          </w:p>
        </w:tc>
        <w:tc>
          <w:tcPr>
            <w:tcW w:w="4535" w:type="dxa"/>
          </w:tcPr>
          <w:p w14:paraId="4CD7B5A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0A61811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C4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1B09FA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DIFFRSRP_8</w:t>
            </w:r>
          </w:p>
        </w:tc>
        <w:tc>
          <w:tcPr>
            <w:tcW w:w="4535" w:type="dxa"/>
          </w:tcPr>
          <w:p w14:paraId="2FEAD032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5E41DCE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D4F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5CE63AD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DIFFRSRP_9</w:t>
            </w:r>
          </w:p>
        </w:tc>
        <w:tc>
          <w:tcPr>
            <w:tcW w:w="4535" w:type="dxa"/>
          </w:tcPr>
          <w:p w14:paraId="076C2D9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-18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5C1E9BE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CC5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949697C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DIFFRSRP_10</w:t>
            </w:r>
          </w:p>
        </w:tc>
        <w:tc>
          <w:tcPr>
            <w:tcW w:w="4535" w:type="dxa"/>
          </w:tcPr>
          <w:p w14:paraId="30608BDF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02E2AAFB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31D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2CCF157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DIFFRSRP_11</w:t>
            </w:r>
          </w:p>
        </w:tc>
        <w:tc>
          <w:tcPr>
            <w:tcW w:w="4535" w:type="dxa"/>
          </w:tcPr>
          <w:p w14:paraId="6B53728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7B5E1376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3C62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0FC035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DIFFRSRP_12</w:t>
            </w:r>
          </w:p>
        </w:tc>
        <w:tc>
          <w:tcPr>
            <w:tcW w:w="4535" w:type="dxa"/>
          </w:tcPr>
          <w:p w14:paraId="5F183BC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3FB92239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D0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157A800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DIFFRSRP_13</w:t>
            </w:r>
          </w:p>
        </w:tc>
        <w:tc>
          <w:tcPr>
            <w:tcW w:w="4535" w:type="dxa"/>
          </w:tcPr>
          <w:p w14:paraId="0AD4DAF3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22E052AD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59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58DCA25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DIFFRSRP_14</w:t>
            </w:r>
          </w:p>
        </w:tc>
        <w:tc>
          <w:tcPr>
            <w:tcW w:w="4535" w:type="dxa"/>
          </w:tcPr>
          <w:p w14:paraId="0B90CA4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-28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4CACE1A8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870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FF5E81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DIFFRSRP_15</w:t>
            </w:r>
          </w:p>
        </w:tc>
        <w:tc>
          <w:tcPr>
            <w:tcW w:w="4535" w:type="dxa"/>
          </w:tcPr>
          <w:p w14:paraId="27D69F3E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-30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6FA7C6EA">
            <w:pPr>
              <w:pStyle w:val="16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</w:tbl>
    <w:p w14:paraId="53938F2C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3CB19297">
      <w:pPr>
        <w:spacing w:after="180" w:line="240" w:lineRule="exact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: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According to RAN1 agreements, it is proposed that legacy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report mapping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i.e.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eastAsia="ko-KR"/>
        </w:rPr>
        <w:t>L1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part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in TS38.133 can be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reused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for the report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mapping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of inference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L1-RSRP.</w:t>
      </w:r>
    </w:p>
    <w:p w14:paraId="66F382D4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The absolute L1-RSRP is is quantized to a 7-bit value in the range [-140, -44] dBm with 1dB step size</w:t>
      </w:r>
    </w:p>
    <w:p w14:paraId="1BB9B8CD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The differential L1-RSRP is quantized to a 4-bit value with 2 dB step size  </w:t>
      </w:r>
    </w:p>
    <w:p w14:paraId="6A82A90C">
      <w:pPr>
        <w:spacing w:after="180" w:line="240" w:lineRule="exact"/>
        <w:rPr>
          <w:rFonts w:hint="eastAsia" w:ascii="Times New Roman" w:hAnsi="Times New Roman" w:eastAsia="等线"/>
          <w:b/>
          <w:bCs/>
          <w:i/>
          <w:iCs/>
          <w:sz w:val="20"/>
          <w:szCs w:val="20"/>
          <w:lang w:val="en-US" w:eastAsia="zh-CN"/>
        </w:rPr>
      </w:pPr>
    </w:p>
    <w:bookmarkEnd w:id="6"/>
    <w:bookmarkEnd w:id="7"/>
    <w:p w14:paraId="0AAB701D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n</w:t>
      </w:r>
    </w:p>
    <w:p w14:paraId="0FD1933D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RRM performance requirements</w:t>
      </w:r>
      <w:r>
        <w:rPr>
          <w:rFonts w:hint="eastAsia" w:ascii="Times New Roman" w:hAnsi="Times New Roman"/>
          <w:sz w:val="20"/>
          <w:szCs w:val="20"/>
        </w:rPr>
        <w:t xml:space="preserve"> for beam management. The proposals are:</w:t>
      </w:r>
    </w:p>
    <w:p w14:paraId="424B39ED">
      <w:pPr>
        <w:spacing w:after="180" w:line="240" w:lineRule="exact"/>
        <w:rPr>
          <w:rFonts w:hint="eastAsia"/>
          <w:lang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1: For RSRP accuracy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it is proposed that AI/ML based performance requirement should not be worse than the legacy measurement accuracy requirements.    </w:t>
      </w:r>
    </w:p>
    <w:p w14:paraId="42B3EE44">
      <w:pPr>
        <w:spacing w:after="180" w:line="240" w:lineRule="exact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: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According to RAN1 agreements, it is proposed that legacy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report mapping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i.e.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eastAsia="ko-KR"/>
        </w:rPr>
        <w:t>L1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part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</w:rPr>
        <w:t>Table 10.1.6.1-2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in TS38.133 can be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reused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for the report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mapping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of inference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d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L1-RSRP.</w:t>
      </w:r>
    </w:p>
    <w:p w14:paraId="25981F62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The absolute L1-RSRP is is quantized to a 7-bit value in the range [-140, -44] dBm with 1dB step size</w:t>
      </w:r>
    </w:p>
    <w:p w14:paraId="53C43BBE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The differential L1-RSRP is quantized to a 4-bit value with 2 dB step size  </w:t>
      </w:r>
    </w:p>
    <w:p w14:paraId="5B59D145">
      <w:pPr>
        <w:spacing w:after="180" w:line="240" w:lineRule="exact"/>
        <w:rPr>
          <w:rFonts w:hint="eastAsia" w:ascii="Times New Roman" w:hAnsi="Times New Roman" w:eastAsia="等线"/>
          <w:b/>
          <w:bCs/>
          <w:i/>
          <w:iCs/>
          <w:sz w:val="20"/>
          <w:szCs w:val="20"/>
          <w:lang w:val="en-US" w:eastAsia="zh-CN"/>
        </w:rPr>
      </w:pPr>
      <w:bookmarkStart w:id="8" w:name="_GoBack"/>
      <w:bookmarkEnd w:id="8"/>
    </w:p>
    <w:p w14:paraId="68A5D763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31791BBB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7EE3D56B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243244,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3EF626A7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R4-2508080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NR_AIML_air_part1, Qualcomm Incorporated</w:t>
      </w:r>
    </w:p>
    <w:p w14:paraId="416989A4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R4-2505105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requirements for AI/ML air interface normative work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52A96E26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502856, </w:t>
      </w:r>
      <w:r>
        <w:rPr>
          <w:rFonts w:hint="eastAsia" w:ascii="Times" w:hAnsi="Times" w:eastAsia="宋体"/>
          <w:b w:val="0"/>
          <w:sz w:val="20"/>
          <w:lang w:eastAsia="zh-CN"/>
        </w:rPr>
        <w:t>WF on the requirements for AI/ML air interfance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Qualcomm Incorporated</w:t>
      </w:r>
    </w:p>
    <w:p w14:paraId="3BA597AB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R4-2420513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part 1, Qualcomm Incorporated</w:t>
      </w:r>
    </w:p>
    <w:p w14:paraId="2B1A7047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699BFAF0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618F8EC5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0DB10E1D">
      <w:pPr>
        <w:pStyle w:val="12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45973251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[5] 3GPP TR 38.843, Study on Artificial Intelligence (AI)/Machine Learning (ML) for NR air interface </w:t>
      </w:r>
    </w:p>
    <w:p w14:paraId="18CE6519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E9138E2">
      <w:pPr>
        <w:pStyle w:val="12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F79A3B3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2952790"/>
    <w:multiLevelType w:val="singleLevel"/>
    <w:tmpl w:val="32952790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0523A95"/>
    <w:multiLevelType w:val="multilevel"/>
    <w:tmpl w:val="40523A9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C7BC0"/>
    <w:rsid w:val="020874E3"/>
    <w:rsid w:val="02366D2D"/>
    <w:rsid w:val="02BB6F86"/>
    <w:rsid w:val="03315CCB"/>
    <w:rsid w:val="04B0587E"/>
    <w:rsid w:val="05FD1662"/>
    <w:rsid w:val="084A6C23"/>
    <w:rsid w:val="08C01BD2"/>
    <w:rsid w:val="0A12645E"/>
    <w:rsid w:val="0A7A49BE"/>
    <w:rsid w:val="0CFD51A3"/>
    <w:rsid w:val="0E2315D2"/>
    <w:rsid w:val="0FDE2595"/>
    <w:rsid w:val="0FE50EF5"/>
    <w:rsid w:val="13156148"/>
    <w:rsid w:val="151A3F0B"/>
    <w:rsid w:val="15685863"/>
    <w:rsid w:val="15C5068C"/>
    <w:rsid w:val="15E51B78"/>
    <w:rsid w:val="17EE3251"/>
    <w:rsid w:val="1869036D"/>
    <w:rsid w:val="18C26AAD"/>
    <w:rsid w:val="19D35C0A"/>
    <w:rsid w:val="1A4B52AF"/>
    <w:rsid w:val="1B8C2C7D"/>
    <w:rsid w:val="1BDE38AF"/>
    <w:rsid w:val="1C79747B"/>
    <w:rsid w:val="21CD1190"/>
    <w:rsid w:val="22C91E20"/>
    <w:rsid w:val="239448A4"/>
    <w:rsid w:val="24BB4727"/>
    <w:rsid w:val="259C54CD"/>
    <w:rsid w:val="27BB3844"/>
    <w:rsid w:val="295E6B72"/>
    <w:rsid w:val="308E7578"/>
    <w:rsid w:val="30EB604D"/>
    <w:rsid w:val="3159659D"/>
    <w:rsid w:val="3295408B"/>
    <w:rsid w:val="334D791B"/>
    <w:rsid w:val="395A40C0"/>
    <w:rsid w:val="397B647A"/>
    <w:rsid w:val="39DC502A"/>
    <w:rsid w:val="3A692ADF"/>
    <w:rsid w:val="3ACA3C80"/>
    <w:rsid w:val="3ADD5C61"/>
    <w:rsid w:val="3CA05E05"/>
    <w:rsid w:val="3D0535AB"/>
    <w:rsid w:val="3DEB4836"/>
    <w:rsid w:val="3DEF01B7"/>
    <w:rsid w:val="40905E46"/>
    <w:rsid w:val="41C815FA"/>
    <w:rsid w:val="4582291E"/>
    <w:rsid w:val="46A636F7"/>
    <w:rsid w:val="47F77D5E"/>
    <w:rsid w:val="48284AC3"/>
    <w:rsid w:val="49574F07"/>
    <w:rsid w:val="4B525B6F"/>
    <w:rsid w:val="4D3D03C8"/>
    <w:rsid w:val="4D85114F"/>
    <w:rsid w:val="4E834E5B"/>
    <w:rsid w:val="53DB4B28"/>
    <w:rsid w:val="549E0D64"/>
    <w:rsid w:val="57B0086C"/>
    <w:rsid w:val="58150567"/>
    <w:rsid w:val="5879537F"/>
    <w:rsid w:val="5A715FC6"/>
    <w:rsid w:val="5CBC141D"/>
    <w:rsid w:val="5DE0757A"/>
    <w:rsid w:val="5DE63D68"/>
    <w:rsid w:val="5E145FE7"/>
    <w:rsid w:val="5E2B562E"/>
    <w:rsid w:val="5ED80E84"/>
    <w:rsid w:val="62743F92"/>
    <w:rsid w:val="62A95749"/>
    <w:rsid w:val="644D521F"/>
    <w:rsid w:val="65674A25"/>
    <w:rsid w:val="69567192"/>
    <w:rsid w:val="6A52659E"/>
    <w:rsid w:val="6BE35B73"/>
    <w:rsid w:val="6D092287"/>
    <w:rsid w:val="6D205895"/>
    <w:rsid w:val="6D7E0FF0"/>
    <w:rsid w:val="6DF758F9"/>
    <w:rsid w:val="731743ED"/>
    <w:rsid w:val="74126C56"/>
    <w:rsid w:val="75886832"/>
    <w:rsid w:val="75CC0EAF"/>
    <w:rsid w:val="76C44683"/>
    <w:rsid w:val="773771F4"/>
    <w:rsid w:val="7AA34743"/>
    <w:rsid w:val="7C3F4164"/>
    <w:rsid w:val="7C6D39AE"/>
    <w:rsid w:val="7D28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</w:style>
  <w:style w:type="paragraph" w:styleId="5">
    <w:name w:val="Date"/>
    <w:basedOn w:val="1"/>
    <w:next w:val="1"/>
    <w:unhideWhenUsed/>
    <w:qFormat/>
    <w:uiPriority w:val="99"/>
    <w:pPr>
      <w:ind w:left="100" w:leftChars="2500"/>
    </w:pPr>
  </w:style>
  <w:style w:type="paragraph" w:styleId="6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8">
    <w:name w:val="Table Grid"/>
    <w:basedOn w:val="7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1">
    <w:name w:val="Proposal"/>
    <w:basedOn w:val="4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TAN"/>
    <w:basedOn w:val="1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CMCC-RAN4#116</cp:lastModifiedBy>
  <dcterms:modified xsi:type="dcterms:W3CDTF">2025-08-15T08:15:04Z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6869B0C1A34749A384ADE3AAD7A61322</vt:lpwstr>
  </property>
</Properties>
</file>